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АННОТАЦИЯ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учебной дисциплины </w:t>
      </w:r>
      <w:r w:rsidDel="00000000" w:rsidR="00000000" w:rsidRPr="00000000">
        <w:rPr>
          <w:b w:val="1"/>
          <w:rtl w:val="0"/>
        </w:rPr>
        <w:t xml:space="preserve">«Физическая диагностика ЯЭУ»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Направление подготовки </w:t>
      </w:r>
      <w:r w:rsidDel="00000000" w:rsidR="00000000" w:rsidRPr="00000000">
        <w:rPr>
          <w:b w:val="1"/>
          <w:rtl w:val="0"/>
        </w:rPr>
        <w:t xml:space="preserve">12.03.01 «Приборостроение»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Профиль </w:t>
      </w:r>
      <w:r w:rsidDel="00000000" w:rsidR="00000000" w:rsidRPr="00000000">
        <w:rPr>
          <w:b w:val="1"/>
          <w:rtl w:val="0"/>
        </w:rPr>
        <w:t xml:space="preserve">«Приборы и методы контроля качества диагностики»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Цель изучения дисциплины: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изучение методов контроля и диагностирования основных конструктивных элементов ядерных энергетических установок (ЯЭУ) и входящих в нее различных машин и механизмов, а также процессов, протекающих в реакторных установках и в основном энергетическом оборудовании ЯЭУ, включая оценку и прогнозирование технического состояния;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1134" w:right="-113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понимание принципов детектирования физических полей и умение производить выбор датчиков для системы контроля и диагностики от простых, состоящих из одного измерительного преобразователя, до сложных интеллектуальных систем детектирования;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1134" w:right="-113" w:hanging="42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понимание принципов работы контрольно-диагностического оборудования и особенностей его использования при эксплуатации ЯЭУ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Задачи изучения дисциплины: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дать новейшую, научную информацию о физической диагностике ЯЭУ;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получение знаний по применению физической диагностики ЯЭУ в системах СВРК АЭС.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Место дисциплины в структуре ООП:</w:t>
      </w:r>
    </w:p>
    <w:p w:rsidR="00000000" w:rsidDel="00000000" w:rsidP="00000000" w:rsidRDefault="00000000" w:rsidRPr="00000000" w14:paraId="0000000F">
      <w:pPr>
        <w:ind w:left="708" w:firstLine="0"/>
        <w:rPr>
          <w:b w:val="1"/>
        </w:rPr>
      </w:pPr>
      <w:r w:rsidDel="00000000" w:rsidR="00000000" w:rsidRPr="00000000">
        <w:rPr>
          <w:rtl w:val="0"/>
        </w:rPr>
        <w:t xml:space="preserve">дисциплина реализуется в рамках вариативной части  профессионального цикла; изучается на 5 курсе.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Общая трудоемкость дисциплины:</w:t>
      </w:r>
    </w:p>
    <w:p w:rsidR="00000000" w:rsidDel="00000000" w:rsidP="00000000" w:rsidRDefault="00000000" w:rsidRPr="00000000" w14:paraId="00000011">
      <w:pPr>
        <w:widowControl w:val="0"/>
        <w:ind w:left="708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4 зачетных единицы, 144 академических часов.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Компетенции, формируемые в результате освоения учебной дисциплины:</w:t>
      </w:r>
    </w:p>
    <w:p w:rsidR="00000000" w:rsidDel="00000000" w:rsidP="00000000" w:rsidRDefault="00000000" w:rsidRPr="00000000" w14:paraId="00000013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color w:val="000000"/>
          <w:rtl w:val="0"/>
        </w:rPr>
        <w:t xml:space="preserve">ПК-9</w:t>
      </w:r>
      <w:r w:rsidDel="00000000" w:rsidR="00000000" w:rsidRPr="00000000">
        <w:rPr>
          <w:color w:val="000000"/>
          <w:rtl w:val="0"/>
        </w:rPr>
        <w:t xml:space="preserve"> – Способен внедрять новые методы и средства технического контроля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jc w:val="both"/>
        <w:rPr/>
      </w:pPr>
      <w:r w:rsidDel="00000000" w:rsidR="00000000" w:rsidRPr="00000000">
        <w:rPr>
          <w:b w:val="1"/>
          <w:rtl w:val="0"/>
        </w:rPr>
        <w:t xml:space="preserve">Индикаторы достижения компетенций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З-ПК-9 знать справочную документацию по характеристикам используемых материалов, виды возможных дефектов; знать формы и виды документов, используемых при проведении технического контроля.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360" w:hanging="360"/>
        <w:jc w:val="both"/>
        <w:rPr/>
      </w:pPr>
      <w:r w:rsidDel="00000000" w:rsidR="00000000" w:rsidRPr="00000000">
        <w:rPr>
          <w:rtl w:val="0"/>
        </w:rPr>
        <w:t xml:space="preserve">У-ПК-9 уметь планировать потребности в оборудовании, материально технических ресурсах и персонале для реализации технического контроля; уметь разрабатывать все виды операций, входящих в технологический процесс контроля параметров и характеристик изделия; уметь составлять схемы контроля параметров и характеристик изделия.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В-ПК-9 владеть навыками организации материально технического обеспечения и контроля параметров и характеристик изделия и наладки необходимого контрольно измерительного оборудования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Формы итогового контроля: </w:t>
      </w:r>
      <w:r w:rsidDel="00000000" w:rsidR="00000000" w:rsidRPr="00000000">
        <w:rPr>
          <w:rtl w:val="0"/>
        </w:rPr>
        <w:t xml:space="preserve">зачет с оценкой.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+cq02x//4wBUCEVl5C6PF+mX0w==">CgMxLjAyCGguZ2pkZ3hzOAByITE1MFItcVExTFRsdTNxMGNENW5FMWdqNGpMQUhlLTBOdQ==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